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15 vom 22. Juli 2025</w:t>
      </w:r>
    </w:p>
    <w:p>
      <w:r>
        <w:t>VS Kantonsgericht, 2025-07-22, DE</w:t>
      </w:r>
    </w:p>
    <w:p>
      <w:r>
        <w:rPr>
          <w:b/>
        </w:rPr>
        <w:t xml:space="preserve">Quelle: </w:t>
      </w:r>
      <w:r>
        <w:t>https://mcp.opencaselaw.ch/entscheid/vs_gerichte_S2 25 15</w:t>
      </w:r>
    </w:p>
    <w:p>
      <w:r>
        <w:t>FR: VS_GERICHTE S2 25 15 du 22 juillet 2025</w:t>
      </w:r>
    </w:p>
    <w:p>
      <w:r>
        <w:t>IT: VS_GERICHTE S2 25 15 del 22 luglio 2025</w:t>
      </w:r>
    </w:p>
    <w:p>
      <w:pPr>
        <w:pStyle w:val="Heading2"/>
      </w:pPr>
      <w:r>
        <w:t>Regeste</w:t>
      </w:r>
    </w:p>
    <w:p>
      <w:r>
        <w:t>S2 25 15 URTEIL VOM 22. JULI 2025 Kantonsgericht Wallis Sozialversicherungsrechtliche Abteilung Besetzung: Michael Steiner, Präsident; Candido Prada und Dr. Thierry Schnyder, Kantonsrichter; Petra Stoffel, Gerichtsschreiberin in Sachen X _________, Beschwerdeführer gegen SCHWEIZERISCHE UNFALLVERSICHERUNG (SUVA), Beschwerdegegnerin (Unfallbegriff; Listenverletzung; Entlastungsbeweis) Beschwerde gegen den Entscheid vom 5. Februar 2025</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ATSG i.V.m. Art. 1 Abs. 2 RVG und Art. 81a VVRG, Art. 7 Abs. 2 RPflG). Der Beschwerdeführer ist durch den angefochtenen Entscheid berührt und hat ein schutzwürdiges Interesse an dessen Auf- hebung (Art. 59 ATSG), weshalb auf die form- und fristgerecht eingereichte Beschwerde einzutreten ist (Art. 60 ATSG, Art. 61 lit. b ATSG).</w:t>
      </w:r>
    </w:p>
    <w:p>
      <w:r>
        <w:rPr>
          <w:b/>
        </w:rPr>
        <w:t>E. 2</w:t>
      </w:r>
    </w:p>
    <w:p>
      <w:r>
        <w:t>Streitig und zu prüfen ist die Leistungspflicht der Beschwerdegegnerin und dement- sprechend die Kausalität hinsichtlich der am 6. Juli 2022 gemeldeten Beschwerden im Zusammenhang mit einer Supraspinatusruptur rechts.</w:t>
      </w:r>
    </w:p>
    <w:p>
      <w:r>
        <w:rPr>
          <w:b/>
        </w:rPr>
        <w:t>E. 3.1</w:t>
      </w:r>
    </w:p>
    <w:p>
      <w:r>
        <w:t>Nach Art. 6 Abs. 1 UVG werden Versicherungsleistungen bei Berufsunfällen, Nicht- berufsunfällen und Berufskrankheiten gewährt, soweit dieses Gesetz nichts anderes be- stimmt. Als Unfall gilt gemäss Art. 4 ATSG die plötzliche, nicht beabsichtigte schädi- gende Einwirkung eines ungewöhnlichen äusseren Faktors auf den menschlichen Kör- per, die eine Beeinträchtigung der körperlichen oder psychischen Gesundheit oder den Tod zur Folge hat. Damit ein Ereignis als Unfall angesehen werden kann, müssen not- wendigerweise alle Begriffsmerkmale der Definition dieses Unfallbegriffs vorliegen.</w:t>
      </w:r>
    </w:p>
    <w:p>
      <w:r>
        <w:t>- 4 - Dabei bezieht sich das Begriffsmerkmal der Ungewöhnlichkeit nicht auf die Wirkung des äusseren Faktors, sondern auf den Faktor selbst. Ohne Belang für die Prüfung der Un- gewöhnlichkeit ist somit, dass der äussere Faktor allenfalls schwerwiegende, unerwar- tete Folgen nach sich gezogen hat (BGE 134 V 76 ff. E. 4.1 und 4.3.1). Ein äusserer Faktor ist ungewöhnlich, wenn er den Rahmen des im jeweiligen Lebensbereich Alltäg- lichen oder Üblichen überschreitet. Ob dies zutrifft, beurteilt sich im Einzelfall, wobei grundsätzlich nur die objektiven Umstände in Betracht fallen (NABOLD, in: Kommentar zum Schweizerischen Sozialversicherungsrecht, UVG, 2018, N 42 zu Art. 6). Nach Lehre und Rechtsprechung kann das Merkmal des ungewöhnlichen äusseren Faktors in einer unkoordinierten Bewegung oder in einer ausserordentlichen körperlichen Anstrengung bestehen (BGE 130 V 118 E. 2.1, 116 V 136 E. 3b mit Hinweisen; Bundesgerichtsurteil U 65/02 vom 13. Dezember 2002 E. 1.2; RKUV 1994 Nr. U 180 S. 38 E. 2). Bei unkoor- dinierten Bewegungen gilt der Grundsatz, dass das Erfordernis der äusseren Einwirkung lediglich dann erfüllt ist, wenn ein in der Aussenwelt begründeter Umstand den natürli- 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Zu ergänzen ist, dass wo sich die Schädi- gung auf das Körperinnere beschränkt und sie erfahrungsgemäss auch als alleinige Folge von Krankheiten, namentlich von degenerativen Veränderungen eines Körperteils innerhalb eines durchaus normalen Geschehensablaufs auftreten kann, die unkoordi- nierte Bewegung als unmittelbare Ursache der Schädigung indessen unter besonders sinnfälligen Umständen gesetzt worden sein muss (RKUV 1999 Nr. U 345 S. 422 E. 2b).</w:t>
      </w:r>
    </w:p>
    <w:p>
      <w:r>
        <w:rPr>
          <w:b/>
        </w:rPr>
        <w:t>E. 3.2</w:t>
      </w:r>
    </w:p>
    <w:p>
      <w:r>
        <w:t>Gemäss Art. 6 Abs. 2 UVG erbringt der Unfallversicherer sodann seine Leistungen auch bei den folgenden Körperschädigungen, sofern sie nicht vorwiegend auf Abnützung oder Erkrankung zurückzuführend sind: a. Knochenbrüche; b. Verrenkungen von Gelen- ken; c. Meniskusrisse; d. Muskelrisse; e. Muskelzerrungen; f. Sehnenrisse; g. Bandläsi- onen und h. Trommelfellverletzungen. Hinsichtlich der unfallähnlichen Körperschädigungen hat das Bundesgericht festgehal- ten, dass für die Anwendung von Art. 6 Abs. 2 UVG kein äusserer Faktor und damit kein unfallähnliches sinnfälliges Ereignis oder eine allgemein gesteigerte Gefahrenlage mehr vorausgesetzt ist. Insoweit führt grundsätzlich bereits die Tatsache, dass eine in Art. 6 Abs. 2 lit. a-h UVG genannte Körperschädigung vorliegt, nunmehr zur Vermutung, es handle sich hierbei um eine Schädigung, die vom Unfallversicherer übernommen werden</w:t>
      </w:r>
    </w:p>
    <w:p>
      <w:r>
        <w:t>- 5 - muss, solange er nicht den Nachweis dafür erbringt, dass die fragliche Listenverletzung vorwiegend auf Abnützung oder Erkrankung zurückzuführen ist. Im Rahmen dieses Ent- lastungsbeweises ist die Frage nach einem initialen erinnerlichen und benennbaren Er- eignis für die Abgrenzung von der Leistungspflicht des Krankenversicherers bedeutsam. Dies setzt voraus, dass der Unfallversicherer im Rahmen seiner Abklärungspflicht nach Eingang der Meldung einer Listenverletzung die Begleitumstände der Verletzung genau abklärt. Bei der in erster Linie von medizinischen Fachpersonen zu beurteilenden Ab- grenzungsfrage ist das gesamte Ursachenspektrum der in Frage stehenden Körperschä- digung zu berücksichtigen. Die verschiedenen Indizien, die für oder gegen Abnützung oder Erkrankung sprechen, müssen aus medizinischer Sicht gewichtet werden. Damit der Entlastungsbeweis gelingt, hat der Unfallversicherer gestützt auf beweiskräftige ärzt- liche Einschätzungen – mit dem Beweisgrad der überwiegenden Wahrscheinlichkeit – nachzuweisen, dass die fragliche Listenverletzung zu mehr als 50% auf Abnützung oder Erkrankung zurückzuführen ist (BGE 146 V 51 E. 8.6 mit Hinweisen).</w:t>
      </w:r>
    </w:p>
    <w:p>
      <w:r>
        <w:rPr>
          <w:b/>
        </w:rPr>
        <w:t>E. 3.3</w:t>
      </w:r>
    </w:p>
    <w:p>
      <w:r>
        <w:t>Für das gesamte Verwaltungs- und Verwaltungsgerichtsbeschwerdeverfahren gilt der Grundsatz der freien Beweiswürdigung. Danach haben Versicherungsträger und So- zialversicherungsrichter die Beweise frei, d.h. ohne Bindung an förmliche Beweisregeln, sowie umfassend und pflichtgemäss zu würdigen. Für das Beschwerdeverfahren bedeu- 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 Der Beweis des natürlichen Kausalzusammenhangs bzw. dessen Wegfallen ist in erster Linie mit den Angaben medizinischer Fachpersonen zu führen. Dabei ist zu beachten,</w:t>
      </w:r>
    </w:p>
    <w:p>
      <w:r>
        <w:t>- 6 -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 8C_331/2015 vom 21. August 2015 E. 2.2.3.1).</w:t>
      </w:r>
    </w:p>
    <w:p>
      <w:r>
        <w:rPr>
          <w:b/>
        </w:rPr>
        <w:t>E. 4.1</w:t>
      </w:r>
    </w:p>
    <w:p>
      <w:r>
        <w:t>Strittig ist vorerst, ob das Ereignis vom 4. Juli 2022 überhaupt als Unfall gemäss Art.</w:t>
      </w:r>
    </w:p>
    <w:p>
      <w:r>
        <w:rPr>
          <w:b/>
        </w:rPr>
        <w:t>E. 4.2</w:t>
      </w:r>
    </w:p>
    <w:p>
      <w:r>
        <w:t>Es bleibt zu prüfen, ob gestützt auf die Listendiagnose von Art. 6 Abs. 2 lit. f UVG eine Leistungspflicht der Beschwerdegegnerin in Frage kommt. Der Beschwerdeführer beanstandet die Annahme einer vollen Beweiskraft des externen Obergutachtens, auf die sich die Beschwerdegegnerin zur Begründung der Leistungsablehnung stützt. Für das erkennende Gericht ist die Stellungnahme des Obergutachters vom 19. Dezem- ber 2023 klar und nachvollziehbar (act. 160). Der externe Gutachter sichtete die Suva-</w:t>
      </w:r>
    </w:p>
    <w:p>
      <w:r>
        <w:t>- 7 - Akten samt den MRT- und Röntgenbefunden. Gestützt darauf kam er zum Schluss, die Listendiagnose (Art. 6 Abs. 2 lit. f UVG) sei erfüllt, allerdings sei diese aufgrund des Bildmaterials, welches einen lateralen Acromionsporn am lateralen Acromionrand, eine relativ weit nach caudal reichende untere Berandung des Acromions (sog. Typ II nach Bigliani) mit konsekutiver Einengung des subacromialen Intervalls, eine acromiohume- rale Distanz (AHD) von knapp 8 mm und kleine Ganglien im Tuberculum majus am Foot- print der Supraspinatussehne zeigen würde, nicht vorwiegend traumatisch bedingt, son- dern mit einer überwiegenden Wahrscheinlichkeit von 70% von einer auf Abnützung resp. Erkrankung bedingten Genese verursacht. Der relativ grosse subtotale Sehnende- fekt der Supraspinatussehne mit ödematösem, etwas retrahiertem Sehnenstumpf passe gut zu einer akuten Ruptur, welche bei adäquatem Trauma wohl auf Basis einer vorbe- stehenden (allenfalls auch klinisch inapparenten) degenerativen Schädigung der Seh- nen passiert sei. Die Sehnenruptur sei aber mit nur 30%iger Wahrscheinlichkeit alleine durch das beschriebene Trauma zu erklären. In Übereinstimmung damit steht das Aktengutachten vom 15. Mai 2023 (act. 118), ge- mäss dem die Sehnenläsion am Footprint kranial des Tuberculum majus lag, wobei exakt an dieser Lokalisation kleine subkortikale Zysten bis zu 3 mm gross und tendino- pathische Veränderungen an der Infraspinatussehnen-Insertion bestanden. Die Stan- dardröntgenaufnahmen der rechten Schulter vom 13. Juli 2022 zeigten sodann eine ossäre Ausziehung am Acromionunterrand. Solche ossären Aushebungen kämen bei der Arthro-MRT-Untersuchung methodisch-bedingt oft nicht so klar zur Darstellung. Wenn in der Beschwerde vorgebracht wird, Dr. A _________ mache geltend, dass von einer Impingement-bedingten Vorschädigung der Supraspinatussehne alleine aufgrund des relativ schmalen Subaktomialraums nicht ausgegangen werden könne und dass auch keine Anhaltspunkte für eine bereits zuvor bestandene Schädigung der Supraspi- natussehne aus den vorliegenden MRT-Aufnahmen anzunehmen seien, so ist dazu fest- zuhalten, dass sich dieser Arzt hinsichtlich seiner Beurteilung ausschliesslich auf die MRT-Aufnahme vom 13. Juli 2022 stützt (act. 119) und die Röntgenaufnahmen dessel- ben Tages gänzlich ausser Acht lässt. Diese sind jedoch neben den MRT-Aufnahmen für die Beurteilung unersetzlich, zeigen sie doch Befunde, die mittels MRT nicht hervor- gehoben werden konnten. Im Übrigen wird in der Gesamtbeurteilung des Ereignisses nicht nur aufgrund der Impingementsituation von einer degenerativen Schädigung aus- gegangen, sondern werden die im Röntgen dargestellte prädisponierende Acromion- form, die ausgewiesenen Osteophyten am lateralen Acromionrand und die punktförmi- gen Verkalkungen in die Gesamtbeurteilung miteinbezogen.</w:t>
      </w:r>
    </w:p>
    <w:p>
      <w:r>
        <w:t>- 8 - Hinsichtlich der konsiliarischen Beratung durch Dr. B _________ vom 20. Juni 2023 (act. 117) ist zu erwähnen, dass die gesamten Suva-Akten diesem Arzt nie unterbreitet wor- den waren und er sich in seiner Schlussfolgerung vom 3. Juli 2023 in Bezug auf die anteilsmässige Aufteilung der Genese lediglich auf die MRT vom 13. Juli 2022 (act. 129) bezog, weshalb sie nicht vollständig und abschliessend ist. Die Behauptung des Beschwerdeführers, dass er keine vorbestehenden Schulterbe- schwerden rechts gehabt habe, läuft weiter auf eine unzulässige und beweisrechtlich wertlose Argumentation hinaus (vgl. E. 3.3 in fine). Ebenfalls ist die Berufung auf die Darlegungen der behandelnden Ärzte in diesem Kontext nicht zielführend und vermag die vorinstanzlichen Feststellungen nicht zu entkräften. So ist den im Rahmen des Ver- 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 krete Indizien gegen die Zuverlässigkeit der Expertise sprechen (BGE 137 V 210 E. 1.3.4, 125 V 351 E. 3b/bb mit weiteren Hinweisen). In Bezug auf Berichte von behan- delnden Ärzten und Ärztinnen darf und soll das Gericht der Erfahrungstatsache Rech- nung tragen, dass diese mitunter im Hinblick auf ihre auftragsrechtliche Vertrauensstel- lung in Zweifelsfällen eher zu Gunsten ihrer Patientinnen und Patienten aussagen. Die unterschiedliche Natur von Behandlungsauftrag der therapeutisch tätigen (Fach-)Person einerseits und Begutachtungsauftrag des amtlich bestellten fachmedizinischen Experten anderseits (BGE 124 I 170 E. 4) lässt es rechtsprechungsgemäss nicht zu, ein Administ- rativ- oder Gerichtsgutachten stets in Frage zu stellen und zum Anlass weiterer Abklä- rungen zu nehmen, wenn die behandelnden Arztpersonen beziehungsweise Therapie- kräfte zu anderslautenden Einschätzungen gelangen. Vorbehalten bleiben Fälle, in de- nen sich eine abweichende Beurteilung aufdrängt, weil diese wichtige – und nicht rein subjektiver Interpretation entspringende – Aspekte benennen, die bei der Begutachtung unerkannt oder ungewürdigt geblieben sind (BGE 135 V 465 E. 4.5, 125 V 351 E. 3b/cc), was in casu unstrittig nicht der Fall war. Hinsichtlich der hinterlegten undatierten Stellungnahme von Dr. C _________ lassen sich keine konkreten Schlüsse ziehen, zumal der Arzt keine klare Evidenz äussert. Dies trifft auch auf den Bericht von Dr. D _________ zu, der keine anteilsmässige Aufteilung hinsichtlich der Genese vornimmt. Im Übrigen ist festzuhalten, dass der Versicherte kei-</w:t>
      </w:r>
    </w:p>
    <w:p>
      <w:r>
        <w:t>- 9 - nen Anspruch auf Einholung einer zweiten Meinung („second opinion“) zu den Feststel- lungen eines ersten Gutachtens hat, wenn ihm diese nicht zusagen (Bundesgerichtsur- teile 8C_148/2011 vom 5. Juli 2011 E. 3.2 und U 571/06 vom 29. Mai 2007 E. 4.2). Unbeheflich ist weiter die Berufung auf den Bericht der Schweizerischen Gesellschaft für Orthopädie und Traumatologie, zumal dieser nicht explizit zum vorliegenden Fall Be- zug nimmt und generelle Darlegungen nicht zielführend sind. Ferner vermag der Be- schwerdeführer aus dem Umstand, dass eine Suchanfrage im Internet einen Status ergab, wonach der Schadenfall anerkannt sei, nichts zu seinen Gunsten abzuleiten, da diesbezüglich die strittige Ruptur und deren Ursache nicht thematisiert wurden. Ergänzend ist anzumerken, dass am Ereignistag kein besonders erheblicher mechani- scher Impakt auf die rechte Schulter einwirkte, welcher bei einer gewollten Handlung eine Ruptur der besagten Supraspinatussehne im Bereich des rechten Schultergelenkes hätte hervorrufen können, und dass angesichts der jahrelangen körperlich schwer be- lastenden Tätigkeit weitere Indizien für eine degenerative Änderung sprechen. Schliesslich geht es darum, die einzelnen Kriterien, die für oder gegen eine traumatische Genese der Verletzung sprechen, aus medizinischer Sicht gegeneinander abzuwägen und den wahrscheinlichen Sachverhalt zu ermitteln. Diesen Anforderungen kam der Gut- achter in seiner Beurteilung zweifellos nach (Bundesgerichtsurteil 8C_59/2020 vom 14. April 2020 E. 5.4). Er zeigte in nachvollziehbarer Weise auf, dass in casu die Indizien, die für eine abnützungsbedingte Genese sprechen, gegenüber jenen, die auf ein Trauma als Ursache hindeuten, deutlich, d.h. zu mehr als 50% überwiegen und der Unfallversi- cherung der Entlastungsbeweis demzufolge gelungen ist. 5. 5.1 Aus diesen Darlegungen ergibt sich, dass die Schulterschmerzen rechts und die anschliessende Behandlung mit überwiegender Wahrscheinlichkeit nicht auf das Ereig- nis vom 4. Juli 2022 zurückzuführen sind, sondern dass ein überwiegend vorbestehen- der degenerativer Schaden vorliegt. Die Beschwerdegegnerin hat zu Recht auf die Be- urteilung des externen Gutachters abgestellt und die Leistungen verweigert. Unbegrün- det sind in diesem Zusammenhang die Einwendungen des Beschwerdeführers hinsicht- lich des Gutachters, hatte er doch von diesem von Anfang an Kenntnis und machte auch von dem Recht Gebrauch, diesem zusätzliche Fragen zu stellen. In diesem Sinne erübrigen sich auch weitere Abklärungen über den Hergang, wie sie der Beschwerdeführer beantragt, da davon keine neuen Erkenntnisse zu erwarten sind, wes- halb darauf zu verzichten ist (antizipierte Beweiswürdigung, BGE 124 V 94).</w:t>
      </w:r>
    </w:p>
    <w:p>
      <w:r>
        <w:t>- 10 - 5.2 Nach dem Gesagten hat die Beschwerdegegnerin eine Leistungsübernahme zu Recht abgelehnt und die dagegen erhobene Beschwerde ist abzuweisen.</w:t>
      </w:r>
    </w:p>
    <w:p>
      <w:r>
        <w:rPr>
          <w:b/>
        </w:rPr>
        <w:t>E. 6</w:t>
      </w:r>
    </w:p>
    <w:p>
      <w:r>
        <w:t>Das Verfahren ist, von hier nicht massgebenden Ausnahmen abgesehen, kostenlos (Art. 61 lit. fbis ATSG). 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r>
        <w:t>Das Kantonsgericht erkennt:</w:t>
      </w:r>
    </w:p>
    <w:p>
      <w:r>
        <w:t>1. Die Beschwerde wird abgewiesen. 2. Es werden weder Kosten erhoben noch Parteientschädigungen ausgerichtet.</w:t>
      </w:r>
    </w:p>
    <w:p>
      <w:r>
        <w:t>Sitten, 22.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